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36A9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9E0156">
        <w:rPr>
          <w:sz w:val="22"/>
          <w:szCs w:val="22"/>
        </w:rPr>
        <w:fldChar w:fldCharType="begin"/>
      </w:r>
      <w:r w:rsidR="009E0156">
        <w:rPr>
          <w:sz w:val="22"/>
          <w:szCs w:val="22"/>
        </w:rPr>
        <w:instrText xml:space="preserve"> DOCPROPERTY  DataNaPismie  \* MERGEFORMAT </w:instrText>
      </w:r>
      <w:r w:rsidR="009E0156">
        <w:rPr>
          <w:sz w:val="22"/>
          <w:szCs w:val="22"/>
        </w:rPr>
        <w:fldChar w:fldCharType="separate"/>
      </w:r>
      <w:r w:rsidR="009E0156">
        <w:rPr>
          <w:sz w:val="22"/>
          <w:szCs w:val="22"/>
        </w:rPr>
        <w:t>2021-04-02</w:t>
      </w:r>
      <w:r w:rsidR="009E0156">
        <w:rPr>
          <w:sz w:val="22"/>
          <w:szCs w:val="22"/>
        </w:rPr>
        <w:fldChar w:fldCharType="end"/>
      </w:r>
    </w:p>
    <w:p w14:paraId="37A0DEA4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207AD3">
        <w:pict w14:anchorId="41389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318A0D20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GIP-21-19438</w:t>
      </w:r>
      <w:r>
        <w:rPr>
          <w:sz w:val="22"/>
          <w:szCs w:val="22"/>
        </w:rPr>
        <w:fldChar w:fldCharType="end"/>
      </w:r>
    </w:p>
    <w:p w14:paraId="18264C69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GIP-GPP.0301.10.2021.1</w:t>
      </w:r>
      <w:r>
        <w:rPr>
          <w:sz w:val="22"/>
          <w:szCs w:val="22"/>
        </w:rPr>
        <w:fldChar w:fldCharType="end"/>
      </w:r>
    </w:p>
    <w:p w14:paraId="104E0C13" w14:textId="77777777" w:rsidR="00E26B7B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14:paraId="1D31E3A9" w14:textId="77777777" w:rsidR="00E26B7B" w:rsidRDefault="003F0303" w:rsidP="00464979">
      <w:pPr>
        <w:spacing w:line="360" w:lineRule="auto"/>
        <w:ind w:left="5387" w:firstLine="285"/>
        <w:rPr>
          <w:b/>
          <w:sz w:val="22"/>
          <w:szCs w:val="22"/>
        </w:rPr>
      </w:pPr>
      <w:r w:rsidRPr="003F0303">
        <w:rPr>
          <w:b/>
          <w:sz w:val="22"/>
          <w:szCs w:val="22"/>
        </w:rPr>
        <w:t>Pan</w:t>
      </w:r>
      <w:r w:rsidR="00D317E9">
        <w:rPr>
          <w:b/>
          <w:sz w:val="22"/>
          <w:szCs w:val="22"/>
        </w:rPr>
        <w:t>i/Pan</w:t>
      </w:r>
    </w:p>
    <w:p w14:paraId="1DF78B0F" w14:textId="77777777" w:rsidR="00464979" w:rsidRPr="00464979" w:rsidRDefault="00464979" w:rsidP="0046497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79">
        <w:rPr>
          <w:b/>
          <w:sz w:val="22"/>
          <w:szCs w:val="22"/>
        </w:rPr>
        <w:t>Okręgowy Inspektor Pracy</w:t>
      </w:r>
    </w:p>
    <w:p w14:paraId="3C9E8EEC" w14:textId="77777777" w:rsidR="00464979" w:rsidRDefault="00464979" w:rsidP="004649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wszyscy -</w:t>
      </w:r>
    </w:p>
    <w:p w14:paraId="29DDD0B9" w14:textId="77777777" w:rsidR="00464979" w:rsidRDefault="00464979" w:rsidP="00464979">
      <w:pPr>
        <w:spacing w:line="360" w:lineRule="auto"/>
        <w:jc w:val="both"/>
        <w:rPr>
          <w:sz w:val="22"/>
          <w:szCs w:val="22"/>
        </w:rPr>
      </w:pPr>
    </w:p>
    <w:p w14:paraId="3D9D0CA5" w14:textId="77777777" w:rsidR="00464979" w:rsidRPr="00464979" w:rsidRDefault="00464979" w:rsidP="00464979">
      <w:pPr>
        <w:spacing w:line="360" w:lineRule="auto"/>
        <w:jc w:val="both"/>
        <w:rPr>
          <w:i/>
          <w:sz w:val="22"/>
          <w:szCs w:val="22"/>
        </w:rPr>
      </w:pPr>
      <w:r w:rsidRPr="00464979">
        <w:rPr>
          <w:i/>
          <w:sz w:val="22"/>
          <w:szCs w:val="22"/>
        </w:rPr>
        <w:t>Szanowni Państwo,</w:t>
      </w:r>
    </w:p>
    <w:p w14:paraId="4CFADBB3" w14:textId="77777777" w:rsidR="00464979" w:rsidRDefault="00464979" w:rsidP="00464979">
      <w:pPr>
        <w:spacing w:line="360" w:lineRule="auto"/>
        <w:jc w:val="both"/>
        <w:rPr>
          <w:sz w:val="22"/>
          <w:szCs w:val="22"/>
        </w:rPr>
      </w:pPr>
    </w:p>
    <w:p w14:paraId="4ECB3FFD" w14:textId="77777777" w:rsidR="00464979" w:rsidRDefault="00464979" w:rsidP="0046497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ze zgłaszanymi pytaniami dotyczącymi</w:t>
      </w:r>
      <w:r w:rsidRPr="00AD3F08">
        <w:rPr>
          <w:sz w:val="22"/>
          <w:szCs w:val="22"/>
        </w:rPr>
        <w:t xml:space="preserve"> możliwości częściowego wypowiadania układów zbiorowych pracy</w:t>
      </w:r>
      <w:r>
        <w:rPr>
          <w:sz w:val="22"/>
          <w:szCs w:val="22"/>
        </w:rPr>
        <w:t xml:space="preserve">, </w:t>
      </w:r>
      <w:r w:rsidRPr="00AD3F08">
        <w:rPr>
          <w:sz w:val="22"/>
          <w:szCs w:val="22"/>
        </w:rPr>
        <w:t xml:space="preserve">uprzejmie </w:t>
      </w:r>
      <w:r>
        <w:rPr>
          <w:sz w:val="22"/>
          <w:szCs w:val="22"/>
        </w:rPr>
        <w:t>informuję:</w:t>
      </w:r>
    </w:p>
    <w:p w14:paraId="66629E35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Przepisy Kodeksu</w:t>
      </w:r>
      <w:r w:rsidRPr="00614D8A">
        <w:rPr>
          <w:rFonts w:cs="Arial"/>
          <w:sz w:val="22"/>
          <w:szCs w:val="22"/>
        </w:rPr>
        <w:t xml:space="preserve"> pracy dotyczące układów zbiorowych odrębnie i kompleksowo regulują kwestie zawierania, zmiany i rozwiązywania układów zbiorowych pracy. W okresie obowiązywania układu jego zmiana możliwa jest w oparciu o przepis art. 241</w:t>
      </w:r>
      <w:r w:rsidRPr="00614D8A">
        <w:rPr>
          <w:rFonts w:cs="Arial"/>
          <w:sz w:val="22"/>
          <w:szCs w:val="22"/>
          <w:vertAlign w:val="superscript"/>
        </w:rPr>
        <w:t xml:space="preserve">9 </w:t>
      </w:r>
      <w:r>
        <w:rPr>
          <w:rFonts w:cs="Arial"/>
          <w:sz w:val="22"/>
          <w:szCs w:val="22"/>
        </w:rPr>
        <w:t>§ 1</w:t>
      </w:r>
      <w:r w:rsidRPr="00614D8A">
        <w:rPr>
          <w:rFonts w:cs="Arial"/>
          <w:sz w:val="22"/>
          <w:szCs w:val="22"/>
        </w:rPr>
        <w:t xml:space="preserve"> Kodeksu pracy, tj. w drodze protokołów dodatkowych do układu. Protokołem dodatkowym strony mogą zmienić postanowienia układu, uchylić niektóre z nich lub wprowadzić dodatkowe rozwiązania prawne. Do protokołów dodatkowych stosuje się odpowiednio przepisy dotyczące układu. Oznacza to, że protokół jest zawierany w trybie przewidzianym dla zawarcia układu (uprawnione podmioty występują z inicjatywą zawarcia protokołu, rokowania – w razie ich podjęcia - powinny być  prowadzone z poszanowaniem reguł określonych w art. 241</w:t>
      </w:r>
      <w:r w:rsidRPr="00614D8A">
        <w:rPr>
          <w:rFonts w:cs="Arial"/>
          <w:sz w:val="22"/>
          <w:szCs w:val="22"/>
          <w:vertAlign w:val="superscript"/>
        </w:rPr>
        <w:t>3</w:t>
      </w:r>
      <w:r w:rsidRPr="00614D8A">
        <w:rPr>
          <w:rFonts w:cs="Arial"/>
          <w:sz w:val="22"/>
          <w:szCs w:val="22"/>
        </w:rPr>
        <w:t xml:space="preserve"> i </w:t>
      </w:r>
      <w:r>
        <w:rPr>
          <w:rFonts w:cs="Arial"/>
          <w:sz w:val="22"/>
          <w:szCs w:val="22"/>
        </w:rPr>
        <w:t xml:space="preserve">art. </w:t>
      </w:r>
      <w:r w:rsidRPr="00614D8A">
        <w:rPr>
          <w:rFonts w:cs="Arial"/>
          <w:sz w:val="22"/>
          <w:szCs w:val="22"/>
        </w:rPr>
        <w:t>241</w:t>
      </w:r>
      <w:r w:rsidRPr="00614D8A">
        <w:rPr>
          <w:rFonts w:cs="Arial"/>
          <w:sz w:val="22"/>
          <w:szCs w:val="22"/>
          <w:vertAlign w:val="superscript"/>
        </w:rPr>
        <w:t xml:space="preserve">4 </w:t>
      </w:r>
      <w:r>
        <w:rPr>
          <w:rFonts w:cs="Arial"/>
          <w:sz w:val="22"/>
          <w:szCs w:val="22"/>
        </w:rPr>
        <w:t>Kodeksu pracy</w:t>
      </w:r>
      <w:r w:rsidRPr="00614D8A">
        <w:rPr>
          <w:rFonts w:cs="Arial"/>
          <w:sz w:val="22"/>
          <w:szCs w:val="22"/>
        </w:rPr>
        <w:t>, zawarcie protokołu następuje w formie pisemnej), podlega takiej procedurze rejestracyjnej, jak układ zbiorowy pracy (organ rejestrujący bada prawidłowość zawarcia protokołu dodatkowego i zgodność z prawem jego postanowień), podlega wpisowi do rejestru układów oraz wchodzi w życie w terminie w nim określonym, nie wcześniej jednak niż z dniem zarejestrowania. Z dniem wejścia w życie protokołu ulegają zmianie postanowienia układu, których dotyczył protokół dodatkowy.</w:t>
      </w:r>
    </w:p>
    <w:p w14:paraId="705C342A" w14:textId="77777777" w:rsidR="00464979" w:rsidRPr="00614D8A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gruncie ustawowej regulacji d</w:t>
      </w:r>
      <w:r w:rsidRPr="00614D8A">
        <w:rPr>
          <w:rFonts w:cs="Arial"/>
          <w:sz w:val="22"/>
          <w:szCs w:val="22"/>
        </w:rPr>
        <w:t>opuszczalna jest również czasowa modyfikacja treści układu poprzez zawarcie porozumienia stron układu zakładowego o zawieszeniu stosowania układu, w całości lub części. Wówczas na mocy art. 241</w:t>
      </w:r>
      <w:r w:rsidRPr="00614D8A">
        <w:rPr>
          <w:rFonts w:cs="Arial"/>
          <w:sz w:val="22"/>
          <w:szCs w:val="22"/>
          <w:vertAlign w:val="superscript"/>
        </w:rPr>
        <w:t>27</w:t>
      </w:r>
      <w:r>
        <w:rPr>
          <w:rFonts w:cs="Arial"/>
          <w:sz w:val="22"/>
          <w:szCs w:val="22"/>
        </w:rPr>
        <w:t xml:space="preserve"> § 3 </w:t>
      </w:r>
      <w:r w:rsidRPr="00614D8A">
        <w:rPr>
          <w:rFonts w:cs="Arial"/>
          <w:sz w:val="22"/>
          <w:szCs w:val="22"/>
        </w:rPr>
        <w:t xml:space="preserve">Kodeksu pracy w zakresie i przez czas ustalony w tym porozumieniu nie stosuje się z mocy prawa </w:t>
      </w:r>
      <w:r w:rsidRPr="00614D8A">
        <w:rPr>
          <w:rFonts w:cs="Arial"/>
          <w:sz w:val="22"/>
          <w:szCs w:val="22"/>
        </w:rPr>
        <w:lastRenderedPageBreak/>
        <w:t xml:space="preserve">wynikających z układu warunków umów o pracę. Nie oznacza to ich formalnej derogacji, gdyż po upływie okresu zawieszenia z mocy prawa zostają one reaktywowane. </w:t>
      </w:r>
    </w:p>
    <w:p w14:paraId="1C4A1217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614D8A">
        <w:rPr>
          <w:rFonts w:cs="Arial"/>
          <w:sz w:val="22"/>
          <w:szCs w:val="22"/>
        </w:rPr>
        <w:t xml:space="preserve">W niektórych opiniach wskazuje się, iż w prawie definitywnego wypowiedzenia całego układu zbiorowego pracy mieści się też prawo do wypowiedzenia ograniczonego. Należy jednak </w:t>
      </w:r>
      <w:r w:rsidRPr="001D03D7">
        <w:rPr>
          <w:rFonts w:cs="Arial"/>
          <w:sz w:val="22"/>
          <w:szCs w:val="22"/>
        </w:rPr>
        <w:t>zauważyć</w:t>
      </w:r>
      <w:r w:rsidRPr="00614D8A">
        <w:rPr>
          <w:rFonts w:cs="Arial"/>
          <w:sz w:val="22"/>
          <w:szCs w:val="22"/>
        </w:rPr>
        <w:t>, iż przepis art. 241</w:t>
      </w:r>
      <w:r w:rsidRPr="00614D8A">
        <w:rPr>
          <w:rFonts w:cs="Arial"/>
          <w:sz w:val="22"/>
          <w:szCs w:val="22"/>
          <w:vertAlign w:val="superscript"/>
        </w:rPr>
        <w:t xml:space="preserve">7 </w:t>
      </w:r>
      <w:r w:rsidRPr="00614D8A">
        <w:rPr>
          <w:rFonts w:cs="Arial"/>
          <w:sz w:val="22"/>
          <w:szCs w:val="22"/>
        </w:rPr>
        <w:t>§ 1 pkt 3 Kodeksu pracy odnosi się do wypowiedzenia układu, a nie jego części. Jeżeli ustawodawca dopuszcza możliwość stosowania niektórych rozwiązań przewidzianych w dziale jedenastym w odniesieniu do części układu, wówczas znajduje to odzwierciedlenie w treści normy prawnej (jak np. w przypadku porozumienia o stosowaniu układu na podstawie art. 241</w:t>
      </w:r>
      <w:r w:rsidRPr="00614D8A">
        <w:rPr>
          <w:rFonts w:cs="Arial"/>
          <w:sz w:val="22"/>
          <w:szCs w:val="22"/>
          <w:vertAlign w:val="superscript"/>
        </w:rPr>
        <w:t xml:space="preserve">10 </w:t>
      </w:r>
      <w:r w:rsidRPr="00614D8A">
        <w:rPr>
          <w:rFonts w:cs="Arial"/>
          <w:sz w:val="22"/>
          <w:szCs w:val="22"/>
        </w:rPr>
        <w:t>§ 1 Kodeksu pracy dopuszczalne jest stosowanie układu w części; także w przypadku zawarcia porozumienia o zawieszeniu stosowania układu w oparciu o art. 241</w:t>
      </w:r>
      <w:r w:rsidRPr="00614D8A">
        <w:rPr>
          <w:rFonts w:cs="Arial"/>
          <w:sz w:val="22"/>
          <w:szCs w:val="22"/>
          <w:vertAlign w:val="superscript"/>
        </w:rPr>
        <w:t>27</w:t>
      </w:r>
      <w:r w:rsidRPr="00614D8A">
        <w:rPr>
          <w:rFonts w:cs="Arial"/>
          <w:sz w:val="22"/>
          <w:szCs w:val="22"/>
        </w:rPr>
        <w:t xml:space="preserve"> § 1 Kodeksu pracy przewidziana jest możliwość zawieszenia stosowania układu lub niektórych jego postanowień). Z uwagi na brak przepisu dopuszczającego taką możliwość należy przyjąć, że zmian w treści układu można dokonywać jedynie w drodze protokołów dodatkowych.</w:t>
      </w:r>
    </w:p>
    <w:p w14:paraId="60A4C64F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Należy też zaznaczyć, że</w:t>
      </w:r>
      <w:r w:rsidRPr="003D7F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wśród informacji podlegających wpisowi do rejestru układów, wskazanych w § 9 ust. 1 rozporządzenia </w:t>
      </w:r>
      <w:r w:rsidRPr="005844B4">
        <w:rPr>
          <w:rFonts w:cs="Arial"/>
          <w:sz w:val="22"/>
          <w:szCs w:val="22"/>
        </w:rPr>
        <w:t xml:space="preserve">Ministra Pracy i Polityki Społecznej z dnia </w:t>
      </w:r>
      <w:smartTag w:uri="urn:schemas-microsoft-com:office:smarttags" w:element="date">
        <w:smartTagPr>
          <w:attr w:name="Year" w:val="2001"/>
          <w:attr w:name="Day" w:val="4"/>
          <w:attr w:name="Month" w:val="4"/>
          <w:attr w:name="ls" w:val="trans"/>
        </w:smartTagPr>
        <w:smartTag w:uri="urn:schemas-microsoft-com:office:smarttags" w:element="date">
          <w:smartTagPr>
            <w:attr w:name="Year" w:val="2001"/>
            <w:attr w:name="Day" w:val="4"/>
            <w:attr w:name="Month" w:val="4"/>
            <w:attr w:name="ls" w:val="trans"/>
          </w:smartTagPr>
          <w:r w:rsidRPr="005844B4">
            <w:rPr>
              <w:rFonts w:cs="Arial"/>
              <w:sz w:val="22"/>
              <w:szCs w:val="22"/>
            </w:rPr>
            <w:t>4 kwietnia 2001</w:t>
          </w:r>
        </w:smartTag>
        <w:r w:rsidRPr="005844B4">
          <w:rPr>
            <w:rFonts w:cs="Arial"/>
            <w:sz w:val="22"/>
            <w:szCs w:val="22"/>
          </w:rPr>
          <w:t xml:space="preserve"> r.</w:t>
        </w:r>
      </w:smartTag>
      <w:r w:rsidRPr="005844B4">
        <w:rPr>
          <w:rFonts w:cs="Arial"/>
          <w:sz w:val="22"/>
          <w:szCs w:val="22"/>
        </w:rPr>
        <w:t xml:space="preserve"> w sprawie trybu postępowania w sprawie rejestracji układów zbiorowych pracy, prowadzenia rejestru układów i akt rejestrowych oraz wzorów klauzul rejestracyjnych i kart rejestrowych (Dz.U. Nr 34, poz. 408)</w:t>
      </w:r>
      <w:r>
        <w:rPr>
          <w:rFonts w:cs="Arial"/>
          <w:sz w:val="22"/>
          <w:szCs w:val="22"/>
        </w:rPr>
        <w:t xml:space="preserve"> wymienione zostały informacje dotyczące m. in. wypowiedzenia czy rozwiązania układu. W ww. przepisie brak jest informacji dotyczącej wypowiedzenia układu zbiorowego w części.</w:t>
      </w:r>
    </w:p>
    <w:p w14:paraId="2C58A941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614D8A">
        <w:rPr>
          <w:rFonts w:cs="Arial"/>
          <w:sz w:val="22"/>
          <w:szCs w:val="22"/>
        </w:rPr>
        <w:t>Mając powyższe na względzie należy uznać za nieprawidłową wykładnię przepisu art. 241</w:t>
      </w:r>
      <w:r w:rsidRPr="00614D8A">
        <w:rPr>
          <w:rFonts w:cs="Arial"/>
          <w:sz w:val="22"/>
          <w:szCs w:val="22"/>
          <w:vertAlign w:val="superscript"/>
        </w:rPr>
        <w:t xml:space="preserve">7 </w:t>
      </w:r>
      <w:r w:rsidRPr="00614D8A">
        <w:rPr>
          <w:rFonts w:cs="Arial"/>
          <w:sz w:val="22"/>
          <w:szCs w:val="22"/>
        </w:rPr>
        <w:t xml:space="preserve">§ 1 pkt 3 Kodeksu pracy polegającą na przyjęciu wnioskowania </w:t>
      </w:r>
      <w:r w:rsidRPr="00614D8A">
        <w:rPr>
          <w:rFonts w:cs="Arial"/>
          <w:i/>
          <w:sz w:val="22"/>
          <w:szCs w:val="22"/>
        </w:rPr>
        <w:t xml:space="preserve">a </w:t>
      </w:r>
      <w:proofErr w:type="spellStart"/>
      <w:r w:rsidRPr="00614D8A">
        <w:rPr>
          <w:rFonts w:cs="Arial"/>
          <w:i/>
          <w:sz w:val="22"/>
          <w:szCs w:val="22"/>
        </w:rPr>
        <w:t>maiori</w:t>
      </w:r>
      <w:proofErr w:type="spellEnd"/>
      <w:r w:rsidRPr="00614D8A">
        <w:rPr>
          <w:rFonts w:cs="Arial"/>
          <w:i/>
          <w:sz w:val="22"/>
          <w:szCs w:val="22"/>
        </w:rPr>
        <w:t xml:space="preserve"> ad minus</w:t>
      </w:r>
      <w:r w:rsidRPr="00614D8A">
        <w:rPr>
          <w:rFonts w:cs="Arial"/>
          <w:sz w:val="22"/>
          <w:szCs w:val="22"/>
        </w:rPr>
        <w:t xml:space="preserve"> podczas stosowania tego przepisu, a co za tym idzie, uznania za zgodne z prawem wypowiedzenia układu zbiorowego pracy w części. Przywołany w judykaturze (wyrok Sądu Okręgowego w Gliwicach z dnia 22 kwietnia 2016 r., VIII Pa 215/15) argument, iż skutki wypowiedzenia całkowitego są dalej idące niż skutki wypowiedzenia częściowego, a więc nie ma powodu aby wykluczać dopuszczalność preferowania środka łagodniejszego – częściowego wypowiedzenia (wnioski te odnosiły się do porozumienia zbiorowego innego niż układ), w razie jego akceptacji usprawiedliwiałby </w:t>
      </w:r>
      <w:proofErr w:type="spellStart"/>
      <w:r w:rsidRPr="00614D8A">
        <w:rPr>
          <w:rFonts w:cs="Arial"/>
          <w:sz w:val="22"/>
          <w:szCs w:val="22"/>
        </w:rPr>
        <w:t>pozasystemowe</w:t>
      </w:r>
      <w:proofErr w:type="spellEnd"/>
      <w:r w:rsidRPr="00614D8A">
        <w:rPr>
          <w:rFonts w:cs="Arial"/>
          <w:sz w:val="22"/>
          <w:szCs w:val="22"/>
        </w:rPr>
        <w:t xml:space="preserve"> dokonywanie zmian treści układów. </w:t>
      </w:r>
      <w:r>
        <w:rPr>
          <w:rFonts w:cs="Arial"/>
          <w:sz w:val="22"/>
          <w:szCs w:val="22"/>
        </w:rPr>
        <w:t xml:space="preserve">Uznanie za dopuszczalne możliwości </w:t>
      </w:r>
      <w:r w:rsidRPr="00614D8A">
        <w:rPr>
          <w:rFonts w:cs="Arial"/>
          <w:sz w:val="22"/>
          <w:szCs w:val="22"/>
        </w:rPr>
        <w:t xml:space="preserve">wypowiadania niektórych postanowień układu mogłoby </w:t>
      </w:r>
      <w:r>
        <w:rPr>
          <w:rFonts w:cs="Arial"/>
          <w:sz w:val="22"/>
          <w:szCs w:val="22"/>
        </w:rPr>
        <w:t>prowadzić do pozbawienia</w:t>
      </w:r>
      <w:r w:rsidRPr="00C20B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pracowników uprawnień wynikających z układu, korzystniejszych niż przepisy prawa pracy, </w:t>
      </w:r>
      <w:r w:rsidRPr="00614D8A">
        <w:rPr>
          <w:rFonts w:cs="Arial"/>
          <w:sz w:val="22"/>
          <w:szCs w:val="22"/>
        </w:rPr>
        <w:t>w drodze jednostronnej czynności praw</w:t>
      </w:r>
      <w:r>
        <w:rPr>
          <w:rFonts w:cs="Arial"/>
          <w:sz w:val="22"/>
          <w:szCs w:val="22"/>
        </w:rPr>
        <w:t>nej, z pominięciem</w:t>
      </w:r>
      <w:r w:rsidRPr="00614D8A">
        <w:rPr>
          <w:rFonts w:cs="Arial"/>
          <w:sz w:val="22"/>
          <w:szCs w:val="22"/>
        </w:rPr>
        <w:t xml:space="preserve"> rokowań ze związkami zawodowymi. </w:t>
      </w:r>
      <w:r>
        <w:rPr>
          <w:rFonts w:cs="Arial"/>
          <w:sz w:val="22"/>
          <w:szCs w:val="22"/>
        </w:rPr>
        <w:t>Przeczyłoby to założeniu leżącemu u podstaw regulacji układowej, przewidującemu uzgadnianie treści układu i jego zmianę w drodze negocjacji obu stron układu.</w:t>
      </w:r>
    </w:p>
    <w:p w14:paraId="6061F34F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Warto przytoczyć w tym miejscu uchwałę Sądu Najwyższego z dnia 22 lutego 2008 r. (I PZP 12/07), w uzasadnieniu której Sąd Najwyższy zaznaczył, iż z</w:t>
      </w:r>
      <w:r w:rsidRPr="00777B96">
        <w:rPr>
          <w:rFonts w:cs="Arial"/>
          <w:sz w:val="22"/>
          <w:szCs w:val="22"/>
        </w:rPr>
        <w:t>naczenie podstawowe ma normatywny charakter układu zbiorowego pracy co do ustanowionych warunków płacowych. Jego zmiana powodowana pogorszeniem sytuacji finansowej może nastąpić tylko w trybie określonym w ustawie (art. 241</w:t>
      </w:r>
      <w:r w:rsidRPr="00777B96">
        <w:rPr>
          <w:rFonts w:cs="Arial"/>
          <w:sz w:val="22"/>
          <w:szCs w:val="22"/>
          <w:vertAlign w:val="superscript"/>
        </w:rPr>
        <w:t>9</w:t>
      </w:r>
      <w:r w:rsidRPr="00777B96">
        <w:rPr>
          <w:rFonts w:cs="Arial"/>
          <w:sz w:val="22"/>
          <w:szCs w:val="22"/>
        </w:rPr>
        <w:t xml:space="preserve"> § 1 </w:t>
      </w:r>
      <w:r w:rsidRPr="00614D8A">
        <w:rPr>
          <w:rFonts w:cs="Arial"/>
          <w:sz w:val="22"/>
          <w:szCs w:val="22"/>
        </w:rPr>
        <w:t>Kodeksu pracy</w:t>
      </w:r>
      <w:r w:rsidRPr="00777B96">
        <w:rPr>
          <w:rFonts w:cs="Arial"/>
          <w:sz w:val="22"/>
          <w:szCs w:val="22"/>
        </w:rPr>
        <w:t>). Po zmianie postanowienia układu mniej korzystne dla pracowników wprowadza się w drodze wypowiedzenia dotychczasowych warunków umów o pracę lub innych aktów stanowiących podstawę nawiązania stosunków pracy (art. 241</w:t>
      </w:r>
      <w:r w:rsidRPr="00777B96">
        <w:rPr>
          <w:rFonts w:cs="Arial"/>
          <w:sz w:val="22"/>
          <w:szCs w:val="22"/>
          <w:vertAlign w:val="superscript"/>
        </w:rPr>
        <w:t xml:space="preserve">13 </w:t>
      </w:r>
      <w:r w:rsidRPr="00777B96">
        <w:rPr>
          <w:rFonts w:cs="Arial"/>
          <w:sz w:val="22"/>
          <w:szCs w:val="22"/>
        </w:rPr>
        <w:t xml:space="preserve">§ 2 </w:t>
      </w:r>
      <w:r w:rsidRPr="00614D8A">
        <w:rPr>
          <w:rFonts w:cs="Arial"/>
          <w:sz w:val="22"/>
          <w:szCs w:val="22"/>
        </w:rPr>
        <w:t>Kodeksu pracy</w:t>
      </w:r>
      <w:r w:rsidRPr="00777B96">
        <w:rPr>
          <w:rFonts w:cs="Arial"/>
          <w:sz w:val="22"/>
          <w:szCs w:val="22"/>
        </w:rPr>
        <w:t>). Gdy idzie o interes pracodawcy, to w prawie o układach zbiorowych pracy występują mechanizmy dostosowujące rozwiązania układowe do zmieniającej się sytuacji finansowej. Pracodawca ma możliwość wypowiedzenia układu - art. 241</w:t>
      </w:r>
      <w:r w:rsidRPr="00777B96">
        <w:rPr>
          <w:rFonts w:cs="Arial"/>
          <w:sz w:val="22"/>
          <w:szCs w:val="22"/>
          <w:vertAlign w:val="superscript"/>
        </w:rPr>
        <w:t>7</w:t>
      </w:r>
      <w:r w:rsidRPr="00777B96">
        <w:rPr>
          <w:rFonts w:cs="Arial"/>
          <w:sz w:val="22"/>
          <w:szCs w:val="22"/>
        </w:rPr>
        <w:t xml:space="preserve"> </w:t>
      </w:r>
      <w:r w:rsidRPr="00614D8A">
        <w:rPr>
          <w:rFonts w:cs="Arial"/>
          <w:sz w:val="22"/>
          <w:szCs w:val="22"/>
        </w:rPr>
        <w:t>Kodeksu pracy</w:t>
      </w:r>
      <w:r w:rsidRPr="00777B96">
        <w:rPr>
          <w:rFonts w:cs="Arial"/>
          <w:sz w:val="22"/>
          <w:szCs w:val="22"/>
        </w:rPr>
        <w:t xml:space="preserve"> Strony układu mogą też zawrzeć porozumienie o zawieszeniu układu, w całości lub w części, na czas dopuszczony w ustawie (art. 241</w:t>
      </w:r>
      <w:r w:rsidRPr="00777B96">
        <w:rPr>
          <w:rFonts w:cs="Arial"/>
          <w:sz w:val="22"/>
          <w:szCs w:val="22"/>
          <w:vertAlign w:val="superscript"/>
        </w:rPr>
        <w:t>27</w:t>
      </w:r>
      <w:r w:rsidRPr="00777B96">
        <w:rPr>
          <w:rFonts w:cs="Arial"/>
          <w:sz w:val="22"/>
          <w:szCs w:val="22"/>
        </w:rPr>
        <w:t xml:space="preserve"> </w:t>
      </w:r>
      <w:r w:rsidRPr="00614D8A">
        <w:rPr>
          <w:rFonts w:cs="Arial"/>
          <w:sz w:val="22"/>
          <w:szCs w:val="22"/>
        </w:rPr>
        <w:t>Kodeksu pracy</w:t>
      </w:r>
      <w:r w:rsidRPr="00777B96">
        <w:rPr>
          <w:rFonts w:cs="Arial"/>
          <w:sz w:val="22"/>
          <w:szCs w:val="22"/>
        </w:rPr>
        <w:t xml:space="preserve">). Nie jest również wykluczone przyjęcie w układzie takiego rozwiązania, które określi warunki płacowe i bezpośrednio indywidualne prawo pracownika do świadczenia w zależności od zakładanych parametrów ekonomicznych (sytuacji finansowej pracodawcy). Pracodawca </w:t>
      </w:r>
      <w:r w:rsidRPr="00AE2869">
        <w:rPr>
          <w:rFonts w:cs="Arial"/>
          <w:sz w:val="22"/>
          <w:szCs w:val="22"/>
          <w:u w:val="single"/>
        </w:rPr>
        <w:t xml:space="preserve">nie ma natomiast możliwości odstąpienia od układu (także choćby w części) odwołując się do zmiany okoliczności (swoistej klauzuli </w:t>
      </w:r>
      <w:r w:rsidRPr="00E9612D">
        <w:rPr>
          <w:rFonts w:cs="Arial"/>
          <w:i/>
          <w:sz w:val="22"/>
          <w:szCs w:val="22"/>
          <w:u w:val="single"/>
        </w:rPr>
        <w:t xml:space="preserve">rebus sic </w:t>
      </w:r>
      <w:proofErr w:type="spellStart"/>
      <w:r w:rsidRPr="00E9612D">
        <w:rPr>
          <w:rFonts w:cs="Arial"/>
          <w:i/>
          <w:sz w:val="22"/>
          <w:szCs w:val="22"/>
          <w:u w:val="single"/>
        </w:rPr>
        <w:t>stantibus</w:t>
      </w:r>
      <w:proofErr w:type="spellEnd"/>
      <w:r w:rsidRPr="00777B96">
        <w:rPr>
          <w:rFonts w:cs="Arial"/>
          <w:sz w:val="22"/>
          <w:szCs w:val="22"/>
        </w:rPr>
        <w:t xml:space="preserve">). Instytucja taka istniała, przy określonych warunkach, w </w:t>
      </w:r>
      <w:hyperlink r:id="rId12" w:anchor="/document/16778302?cm=DOCUMENT" w:history="1">
        <w:r w:rsidRPr="00777B96">
          <w:rPr>
            <w:rFonts w:cs="Arial"/>
            <w:sz w:val="22"/>
            <w:szCs w:val="22"/>
          </w:rPr>
          <w:t>ustawie</w:t>
        </w:r>
      </w:hyperlink>
      <w:r w:rsidRPr="00777B96">
        <w:rPr>
          <w:rFonts w:cs="Arial"/>
          <w:sz w:val="22"/>
          <w:szCs w:val="22"/>
        </w:rPr>
        <w:t xml:space="preserve"> z dnia 14 kwietnia 1937 r. o układach zbiorowych pracy (Dz. U. Nr 31, poz. 242 ze zm.), lecz o odstąpieniu od układu decydował rozjemca i wśród innych przesłanek wymagana była znaczna zmiana ogólnych warunków gospodarczych od daty zawarcia układu, której strony nie mogły przewidzieć, a więc nie taka, której wystąpienie strony zakładają i przewidują w układzie.</w:t>
      </w:r>
      <w:r>
        <w:rPr>
          <w:rFonts w:cs="Arial"/>
          <w:sz w:val="22"/>
          <w:szCs w:val="22"/>
        </w:rPr>
        <w:t xml:space="preserve"> Reasumując Sąd stwierdził, że u</w:t>
      </w:r>
      <w:r w:rsidRPr="00777B96">
        <w:rPr>
          <w:rFonts w:cs="Arial"/>
          <w:sz w:val="22"/>
          <w:szCs w:val="22"/>
        </w:rPr>
        <w:t xml:space="preserve">kład zbiorowy pracy podlega ustawowemu prawu o układach zbiorowych pracy, co oznacza, że jego stosowanie warunkuje prawidłowa wykładnia norm układowych, </w:t>
      </w:r>
      <w:r w:rsidRPr="00777B96">
        <w:rPr>
          <w:rFonts w:cs="Arial"/>
          <w:sz w:val="22"/>
          <w:szCs w:val="22"/>
          <w:u w:val="single"/>
        </w:rPr>
        <w:t>natomiast jego modyfikacja dozwolona jest tylko w sposób w prawie tym określony. Zmiana układu może nastąpić tylko w formie protokołu dodatkowego</w:t>
      </w:r>
      <w:r w:rsidRPr="00777B96">
        <w:rPr>
          <w:rFonts w:cs="Arial"/>
          <w:sz w:val="22"/>
          <w:szCs w:val="22"/>
        </w:rPr>
        <w:t xml:space="preserve"> (art. 241</w:t>
      </w:r>
      <w:r>
        <w:rPr>
          <w:rFonts w:cs="Arial"/>
          <w:sz w:val="22"/>
          <w:szCs w:val="22"/>
          <w:vertAlign w:val="superscript"/>
        </w:rPr>
        <w:t>9</w:t>
      </w:r>
      <w:r w:rsidRPr="00777B96">
        <w:rPr>
          <w:rFonts w:cs="Arial"/>
          <w:sz w:val="22"/>
          <w:szCs w:val="22"/>
        </w:rPr>
        <w:t xml:space="preserve"> </w:t>
      </w:r>
      <w:r w:rsidRPr="00614D8A">
        <w:rPr>
          <w:rFonts w:cs="Arial"/>
          <w:sz w:val="22"/>
          <w:szCs w:val="22"/>
        </w:rPr>
        <w:t>Kodeksu pracy</w:t>
      </w:r>
      <w:r w:rsidRPr="00777B96">
        <w:rPr>
          <w:rFonts w:cs="Arial"/>
          <w:sz w:val="22"/>
          <w:szCs w:val="22"/>
        </w:rPr>
        <w:t>).</w:t>
      </w:r>
      <w:r>
        <w:rPr>
          <w:rFonts w:cs="Arial"/>
          <w:sz w:val="22"/>
          <w:szCs w:val="22"/>
        </w:rPr>
        <w:t xml:space="preserve"> </w:t>
      </w:r>
    </w:p>
    <w:p w14:paraId="28C00F98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Również w wyroku z dnia 22 sierpnia 2018 r. (III PK 60/17, OSNP nr 3 z 2019 r. poz. 27) Sąd Najwyższy, odnosząc się do kwestii modyfikacji układu zbiorowego pracy, a w każdym razie do częściowego pozbawienia jego skuteczności przez późniejsze inne niż układ porozumienie zbiorowe, wskazał, iż z obowiązujących przepisów wynika, że treść tego rodzaju aktu prawnego (tzn. układu) można zmienić tylko w sposób enumeratywnie wskazany. Zgodnie z art. 291</w:t>
      </w:r>
      <w:r>
        <w:rPr>
          <w:rFonts w:cs="Arial"/>
          <w:sz w:val="22"/>
          <w:szCs w:val="22"/>
          <w:vertAlign w:val="superscript"/>
        </w:rPr>
        <w:t>9</w:t>
      </w:r>
      <w:r>
        <w:rPr>
          <w:rFonts w:cs="Arial"/>
          <w:sz w:val="22"/>
          <w:szCs w:val="22"/>
        </w:rPr>
        <w:t xml:space="preserve"> § 1</w:t>
      </w:r>
      <w:r w:rsidRPr="00777B96">
        <w:rPr>
          <w:rFonts w:cs="Arial"/>
          <w:sz w:val="22"/>
          <w:szCs w:val="22"/>
        </w:rPr>
        <w:t xml:space="preserve"> </w:t>
      </w:r>
      <w:r w:rsidRPr="00614D8A">
        <w:rPr>
          <w:rFonts w:cs="Arial"/>
          <w:sz w:val="22"/>
          <w:szCs w:val="22"/>
        </w:rPr>
        <w:t>Kodeksu pracy</w:t>
      </w:r>
      <w:r>
        <w:rPr>
          <w:rFonts w:cs="Arial"/>
          <w:sz w:val="22"/>
          <w:szCs w:val="22"/>
        </w:rPr>
        <w:t xml:space="preserve"> zmiany do układu wprowadza się w drodze protokołów dodatkowych, które podlegają rejestracji. Rozwiązanie to spełnia </w:t>
      </w:r>
      <w:r>
        <w:rPr>
          <w:rFonts w:cs="Arial"/>
          <w:sz w:val="22"/>
          <w:szCs w:val="22"/>
        </w:rPr>
        <w:lastRenderedPageBreak/>
        <w:t>funkcję gwarancyjną, porządkującą, a przede wszystkim kształtuje transparentność „prawa wewnętrznego”.</w:t>
      </w:r>
    </w:p>
    <w:p w14:paraId="6B22F14A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Podkreślenia przy tym wymaga, że zakładowy układ zbiorowy pracy jest nie tylko porozumieniem zbiorowym zawieranym przez związki zawodowe i pracodawcę, ma on jednocześnie charakter normatywny. W doktrynie wskazuje się (S. Wronkowska, M. Zieliński </w:t>
      </w:r>
      <w:r w:rsidRPr="00AE2869">
        <w:rPr>
          <w:rFonts w:cs="Arial"/>
          <w:i/>
          <w:sz w:val="22"/>
          <w:szCs w:val="22"/>
        </w:rPr>
        <w:t>Komentarz do zasad techniki prawodawczej</w:t>
      </w:r>
      <w:r>
        <w:rPr>
          <w:rFonts w:cs="Arial"/>
          <w:sz w:val="22"/>
          <w:szCs w:val="22"/>
        </w:rPr>
        <w:t>, Wydawnictwo Sejmowe, Warszawa 2004, str. 180-181), że używane w prawoznawstwie określenie „zmiana prawa” rozumiane jest jako zmiana poszczególnego przepisu prawnego albo zmiana dokonywana w zbiorze: w akcie normatywnym, który można ujmować jako zbiór przepisów prawnych, czy w systemie tego rodzaju aktów. W pierwszym przypadku zmiana może polegać na tym, że zmienia się kształt (brzmienie) lub treść przepisu. Zmiana brzmienia przepisu nie musi pociągać za sobą zmiany treści normy w nim wyrażonej (…) Natomiast zmiana treści przepisu następuje przez zmianę jego brzmienia i wyraża się w tym, że zmienia się treść normy wyrażonej w tym przepisie lub zmienia się treść wielu norm, jeżeli zmieniony przepis miał np. charakter przepisu modyfikującego treść innych przepisów. W drugim przypadku zmiana polega na tym, że dokonuje się zmiany w całym zbiorze. Każdy akt normatywny można ujmować jako zbiór przepisów prawnych. Zmiana aktu normatywnego, jako zbioru przepisów polega na:</w:t>
      </w:r>
    </w:p>
    <w:p w14:paraId="368F9121" w14:textId="77777777" w:rsidR="00464979" w:rsidRDefault="00464979" w:rsidP="00464979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dodaniu do tego zbioru nowych przepisów,</w:t>
      </w:r>
    </w:p>
    <w:p w14:paraId="3CBF7289" w14:textId="77777777" w:rsidR="00464979" w:rsidRDefault="00464979" w:rsidP="00464979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 w:val="22"/>
          <w:szCs w:val="22"/>
        </w:rPr>
      </w:pPr>
      <w:r w:rsidRPr="00134C20">
        <w:rPr>
          <w:rFonts w:cs="Arial"/>
          <w:sz w:val="22"/>
          <w:szCs w:val="22"/>
          <w:u w:val="single"/>
        </w:rPr>
        <w:t>wyeliminowaniu z tego zbioru jakiś przepisów</w:t>
      </w:r>
      <w:r>
        <w:rPr>
          <w:rFonts w:cs="Arial"/>
          <w:sz w:val="22"/>
          <w:szCs w:val="22"/>
        </w:rPr>
        <w:t>,</w:t>
      </w:r>
    </w:p>
    <w:p w14:paraId="1799B98E" w14:textId="77777777" w:rsidR="00464979" w:rsidRDefault="00464979" w:rsidP="00464979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zastąpieniu jakiś przepisów przepisami o innym brzmieniu lub innej treści.</w:t>
      </w:r>
    </w:p>
    <w:p w14:paraId="7F703082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 też stanowi </w:t>
      </w:r>
      <w:r w:rsidRPr="00777B96">
        <w:rPr>
          <w:rFonts w:cs="Arial"/>
          <w:sz w:val="22"/>
          <w:szCs w:val="22"/>
        </w:rPr>
        <w:t>§</w:t>
      </w:r>
      <w:r>
        <w:rPr>
          <w:rFonts w:cs="Arial"/>
          <w:sz w:val="22"/>
          <w:szCs w:val="22"/>
        </w:rPr>
        <w:t xml:space="preserve"> 82 rozporządzenia Prezesa Rady Ministrów z dnia 20 czerwca 2002 r. w sprawie „Zasad techniki prawodawczej” (Dz. U. z 2016 r. poz. 283), a mianowicie, że </w:t>
      </w:r>
      <w:r w:rsidRPr="00134C20">
        <w:rPr>
          <w:rFonts w:cs="Arial"/>
          <w:sz w:val="22"/>
          <w:szCs w:val="22"/>
          <w:u w:val="single"/>
        </w:rPr>
        <w:t>zmiana</w:t>
      </w:r>
      <w:r>
        <w:rPr>
          <w:rFonts w:cs="Arial"/>
          <w:sz w:val="22"/>
          <w:szCs w:val="22"/>
        </w:rPr>
        <w:t xml:space="preserve"> (nowelizacja) ustawy </w:t>
      </w:r>
      <w:r w:rsidRPr="00134C20">
        <w:rPr>
          <w:rFonts w:cs="Arial"/>
          <w:sz w:val="22"/>
          <w:szCs w:val="22"/>
          <w:u w:val="single"/>
        </w:rPr>
        <w:t>polega na uchyleniu niektórych jej przepisów</w:t>
      </w:r>
      <w:r>
        <w:rPr>
          <w:rFonts w:cs="Arial"/>
          <w:sz w:val="22"/>
          <w:szCs w:val="22"/>
        </w:rPr>
        <w:t xml:space="preserve">, zastąpieniu niektórych jej przepisów przepisami o innej treści lub brzmieniu albo dodaniu do niej nowych przepisów. </w:t>
      </w:r>
    </w:p>
    <w:p w14:paraId="0E01E6B6" w14:textId="77777777" w:rsidR="00464979" w:rsidRDefault="00464979" w:rsidP="00464979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Zatem wypowiedzenie niektórych postanowień układu prowadziłoby </w:t>
      </w:r>
      <w:r w:rsidRPr="003C471B">
        <w:rPr>
          <w:rFonts w:cs="Arial"/>
          <w:i/>
          <w:sz w:val="22"/>
          <w:szCs w:val="22"/>
        </w:rPr>
        <w:t>de facto</w:t>
      </w:r>
      <w:r>
        <w:rPr>
          <w:rFonts w:cs="Arial"/>
          <w:sz w:val="22"/>
          <w:szCs w:val="22"/>
        </w:rPr>
        <w:t xml:space="preserve"> do ich uchylenia, a to oznaczałoby zmianę układu. Zmiany do układu natomiast, zgodnie z art. </w:t>
      </w:r>
      <w:r w:rsidRPr="00614D8A">
        <w:rPr>
          <w:rFonts w:cs="Arial"/>
          <w:sz w:val="22"/>
          <w:szCs w:val="22"/>
        </w:rPr>
        <w:t>241</w:t>
      </w:r>
      <w:r w:rsidRPr="00614D8A">
        <w:rPr>
          <w:rFonts w:cs="Arial"/>
          <w:sz w:val="22"/>
          <w:szCs w:val="22"/>
          <w:vertAlign w:val="superscript"/>
        </w:rPr>
        <w:t xml:space="preserve">9 </w:t>
      </w:r>
      <w:r w:rsidRPr="00614D8A">
        <w:rPr>
          <w:rFonts w:cs="Arial"/>
          <w:sz w:val="22"/>
          <w:szCs w:val="22"/>
        </w:rPr>
        <w:t>§ 1  Kodeksu pracy,</w:t>
      </w:r>
      <w:r>
        <w:rPr>
          <w:rFonts w:cs="Arial"/>
          <w:sz w:val="22"/>
          <w:szCs w:val="22"/>
        </w:rPr>
        <w:t xml:space="preserve"> wprowadza się</w:t>
      </w:r>
      <w:r w:rsidRPr="00614D8A">
        <w:rPr>
          <w:rFonts w:cs="Arial"/>
          <w:sz w:val="22"/>
          <w:szCs w:val="22"/>
        </w:rPr>
        <w:t xml:space="preserve"> w drodze protokołów dodatkowych do układu.</w:t>
      </w:r>
    </w:p>
    <w:p w14:paraId="79FC94C7" w14:textId="77777777" w:rsidR="00464979" w:rsidRDefault="00464979" w:rsidP="0046497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Reasumując, strony układu mogą modyfikować jego treść wyłącznie w sposób wskazany w przepisach działu jedenastego Kodeksu pracy. Każda ze stron jest również uprawniona do wypowiedzenia układu. </w:t>
      </w:r>
      <w:r>
        <w:rPr>
          <w:sz w:val="22"/>
          <w:szCs w:val="22"/>
        </w:rPr>
        <w:t xml:space="preserve">Przytoczony powyżej przepis art. </w:t>
      </w:r>
      <w:r w:rsidRPr="00777B96">
        <w:rPr>
          <w:rFonts w:cs="Arial"/>
          <w:sz w:val="22"/>
          <w:szCs w:val="22"/>
        </w:rPr>
        <w:t>241</w:t>
      </w:r>
      <w:r w:rsidRPr="00777B96">
        <w:rPr>
          <w:rFonts w:cs="Arial"/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 Kodeksu pracy przewiduje możliwość wypowiedzenia układu zbiorowego pracy – jako całości, a nie dokonania wypowiedzenia części jego postanowień (wypowiedzenia częściowego). W ocenie Głównego Inspektoratu Pracy, dopuszczenie możliwości dokonania </w:t>
      </w:r>
      <w:r>
        <w:rPr>
          <w:sz w:val="22"/>
          <w:szCs w:val="22"/>
        </w:rPr>
        <w:lastRenderedPageBreak/>
        <w:t>wypowiedzenia częściowego układu zbiorowego pracy wymagałoby zmian legislacyjnych, w wyniku których w przepisach działu jedenastego Kodeksu pracy znalazłaby się norma prawna zezwalająca na takie działanie jednej ze stron układu zbiorowego pracy.</w:t>
      </w:r>
    </w:p>
    <w:p w14:paraId="69E48D21" w14:textId="77777777" w:rsidR="00464979" w:rsidRDefault="00464979" w:rsidP="00464979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obowiązującym obecnie stanem prawnym taka norma nie istnieje, stąd też nie można w omawianym przypadku domniemywać zezwolenia ustawodawcy na zmianę układu zbiorowego pracy poprzez dokonanie wypowiedzenia częściowego jego postanowień, tj. wolą tylko jednej ze stron układu.</w:t>
      </w:r>
    </w:p>
    <w:p w14:paraId="00070821" w14:textId="77777777" w:rsidR="003F0303" w:rsidRDefault="003F0303" w:rsidP="00D744AB">
      <w:pPr>
        <w:spacing w:line="360" w:lineRule="auto"/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DOCPROPERTY  adresNazwisko  \* MERGEFORMAT </w:instrText>
      </w:r>
      <w:r>
        <w:rPr>
          <w:b/>
          <w:sz w:val="22"/>
          <w:szCs w:val="22"/>
        </w:rPr>
        <w:fldChar w:fldCharType="end"/>
      </w:r>
    </w:p>
    <w:p w14:paraId="28CF8500" w14:textId="77777777" w:rsidR="00D17E6C" w:rsidRDefault="00D17E6C" w:rsidP="00D744AB">
      <w:pPr>
        <w:spacing w:line="360" w:lineRule="auto"/>
        <w:ind w:left="3969"/>
        <w:rPr>
          <w:sz w:val="22"/>
          <w:szCs w:val="22"/>
        </w:rPr>
      </w:pPr>
    </w:p>
    <w:p w14:paraId="3C2E0E85" w14:textId="77777777" w:rsidR="00014230" w:rsidRPr="00464979" w:rsidRDefault="00014230" w:rsidP="00464979">
      <w:pPr>
        <w:spacing w:line="360" w:lineRule="auto"/>
        <w:ind w:left="4254" w:firstLine="709"/>
        <w:jc w:val="center"/>
        <w:rPr>
          <w:i/>
          <w:sz w:val="22"/>
          <w:szCs w:val="22"/>
        </w:rPr>
      </w:pPr>
      <w:r w:rsidRPr="00464979">
        <w:rPr>
          <w:i/>
          <w:sz w:val="22"/>
          <w:szCs w:val="22"/>
        </w:rPr>
        <w:t>Z poważaniem,</w:t>
      </w:r>
    </w:p>
    <w:p w14:paraId="4DEFCA4D" w14:textId="77777777" w:rsidR="00464979" w:rsidRDefault="00464979" w:rsidP="00464979">
      <w:pPr>
        <w:spacing w:line="360" w:lineRule="auto"/>
        <w:ind w:left="4254" w:firstLine="709"/>
        <w:jc w:val="center"/>
        <w:rPr>
          <w:sz w:val="22"/>
          <w:szCs w:val="22"/>
        </w:rPr>
      </w:pPr>
    </w:p>
    <w:p w14:paraId="0330B87A" w14:textId="77777777" w:rsidR="00014230" w:rsidRDefault="00014230" w:rsidP="00464979">
      <w:pPr>
        <w:spacing w:line="360" w:lineRule="auto"/>
        <w:ind w:left="4254" w:firstLine="709"/>
        <w:jc w:val="center"/>
        <w:rPr>
          <w:sz w:val="22"/>
          <w:szCs w:val="22"/>
        </w:rPr>
      </w:pPr>
      <w:r>
        <w:rPr>
          <w:sz w:val="22"/>
          <w:szCs w:val="22"/>
        </w:rPr>
        <w:t>Dariusz Mińkowski</w:t>
      </w:r>
    </w:p>
    <w:p w14:paraId="7F21E540" w14:textId="77777777" w:rsidR="00014230" w:rsidRDefault="00014230" w:rsidP="00464979">
      <w:pPr>
        <w:spacing w:line="360" w:lineRule="auto"/>
        <w:ind w:left="4254" w:firstLine="709"/>
        <w:jc w:val="center"/>
        <w:rPr>
          <w:sz w:val="22"/>
          <w:szCs w:val="22"/>
        </w:rPr>
      </w:pPr>
      <w:r>
        <w:rPr>
          <w:sz w:val="22"/>
          <w:szCs w:val="22"/>
        </w:rPr>
        <w:t>Z-ca Głównego Inspektora Pracy</w:t>
      </w:r>
    </w:p>
    <w:p w14:paraId="5264CCA6" w14:textId="77777777" w:rsidR="00014230" w:rsidRDefault="00014230" w:rsidP="00464979">
      <w:pPr>
        <w:spacing w:line="360" w:lineRule="auto"/>
        <w:ind w:left="4254" w:firstLine="709"/>
        <w:jc w:val="center"/>
        <w:rPr>
          <w:szCs w:val="22"/>
        </w:rPr>
      </w:pPr>
      <w:r>
        <w:rPr>
          <w:szCs w:val="22"/>
        </w:rPr>
        <w:t>/-podpisano elektronicznie-/</w:t>
      </w:r>
    </w:p>
    <w:p w14:paraId="000BEB94" w14:textId="77777777" w:rsidR="003F0303" w:rsidRPr="00944B5B" w:rsidRDefault="003F0303" w:rsidP="00944B5B">
      <w:pPr>
        <w:rPr>
          <w:sz w:val="22"/>
          <w:szCs w:val="22"/>
        </w:rPr>
      </w:pPr>
    </w:p>
    <w:sectPr w:rsidR="003F0303" w:rsidRPr="00944B5B" w:rsidSect="00D317E9">
      <w:footerReference w:type="default" r:id="rId13"/>
      <w:headerReference w:type="first" r:id="rId14"/>
      <w:footerReference w:type="first" r:id="rId15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3556" w14:textId="77777777" w:rsidR="00207AD3" w:rsidRDefault="00207AD3">
      <w:r>
        <w:separator/>
      </w:r>
    </w:p>
  </w:endnote>
  <w:endnote w:type="continuationSeparator" w:id="0">
    <w:p w14:paraId="44E95B6B" w14:textId="77777777" w:rsidR="00207AD3" w:rsidRDefault="0020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807382"/>
      <w:docPartObj>
        <w:docPartGallery w:val="Page Numbers (Bottom of Page)"/>
        <w:docPartUnique/>
      </w:docPartObj>
    </w:sdtPr>
    <w:sdtEndPr/>
    <w:sdtContent>
      <w:p w14:paraId="354FFE23" w14:textId="0885CE35" w:rsidR="002B0AF3" w:rsidRDefault="002B0A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64BA0" w14:textId="77777777" w:rsidR="002B0AF3" w:rsidRDefault="002B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EC2A" w14:textId="6F398066" w:rsidR="006875DE" w:rsidRPr="00C56D01" w:rsidRDefault="0063750D" w:rsidP="00C56D01">
    <w:pPr>
      <w:pStyle w:val="Stopka"/>
    </w:pPr>
    <w:r>
      <w:rPr>
        <w:noProof/>
      </w:rPr>
      <w:drawing>
        <wp:inline distT="0" distB="0" distL="0" distR="0" wp14:anchorId="364E310D" wp14:editId="70BC8853">
          <wp:extent cx="5562600" cy="209550"/>
          <wp:effectExtent l="0" t="0" r="0" b="0"/>
          <wp:docPr id="3" name="Obraz 3" descr="StopkaKierownic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Kierownic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02A9" w14:textId="77777777" w:rsidR="00207AD3" w:rsidRDefault="00207AD3">
      <w:r>
        <w:separator/>
      </w:r>
    </w:p>
  </w:footnote>
  <w:footnote w:type="continuationSeparator" w:id="0">
    <w:p w14:paraId="086AD55F" w14:textId="77777777" w:rsidR="00207AD3" w:rsidRDefault="0020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EA05" w14:textId="77777777" w:rsidR="006875DE" w:rsidRPr="009743A3" w:rsidRDefault="0063750D" w:rsidP="009743A3">
    <w:pPr>
      <w:pStyle w:val="Nagwek"/>
    </w:pPr>
    <w:r>
      <w:rPr>
        <w:noProof/>
      </w:rPr>
      <w:drawing>
        <wp:inline distT="0" distB="0" distL="0" distR="0" wp14:anchorId="3F3FA3A1" wp14:editId="077533BB">
          <wp:extent cx="2533650" cy="1209675"/>
          <wp:effectExtent l="0" t="0" r="0" b="0"/>
          <wp:docPr id="2" name="Obraz 2" descr="GIP_Zca_DMinkowski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P_Zca_DMinkowski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9B2127"/>
    <w:multiLevelType w:val="hybridMultilevel"/>
    <w:tmpl w:val="5EC4F708"/>
    <w:lvl w:ilvl="0" w:tplc="51E2BD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BB"/>
    <w:rsid w:val="00014230"/>
    <w:rsid w:val="00037AF5"/>
    <w:rsid w:val="00044487"/>
    <w:rsid w:val="00063934"/>
    <w:rsid w:val="000D6758"/>
    <w:rsid w:val="001019F7"/>
    <w:rsid w:val="00173D40"/>
    <w:rsid w:val="001D42BB"/>
    <w:rsid w:val="00203BD5"/>
    <w:rsid w:val="00206C39"/>
    <w:rsid w:val="00207AD3"/>
    <w:rsid w:val="00234530"/>
    <w:rsid w:val="002A2294"/>
    <w:rsid w:val="002B0AF3"/>
    <w:rsid w:val="00362662"/>
    <w:rsid w:val="0037117E"/>
    <w:rsid w:val="00397B57"/>
    <w:rsid w:val="003F0303"/>
    <w:rsid w:val="00413CFC"/>
    <w:rsid w:val="0043746E"/>
    <w:rsid w:val="00447DFB"/>
    <w:rsid w:val="00464979"/>
    <w:rsid w:val="004E585D"/>
    <w:rsid w:val="00565FAC"/>
    <w:rsid w:val="005A31A9"/>
    <w:rsid w:val="00610AF2"/>
    <w:rsid w:val="00612E7F"/>
    <w:rsid w:val="00625563"/>
    <w:rsid w:val="0063750D"/>
    <w:rsid w:val="006774B4"/>
    <w:rsid w:val="006875DE"/>
    <w:rsid w:val="006A0172"/>
    <w:rsid w:val="006E364D"/>
    <w:rsid w:val="006E585C"/>
    <w:rsid w:val="006E6EFD"/>
    <w:rsid w:val="00760ABD"/>
    <w:rsid w:val="007A34A9"/>
    <w:rsid w:val="007A3AA0"/>
    <w:rsid w:val="007C2C06"/>
    <w:rsid w:val="007E7406"/>
    <w:rsid w:val="008720DA"/>
    <w:rsid w:val="008958B4"/>
    <w:rsid w:val="008E0282"/>
    <w:rsid w:val="008E116B"/>
    <w:rsid w:val="008E42FF"/>
    <w:rsid w:val="009258D2"/>
    <w:rsid w:val="00944B5B"/>
    <w:rsid w:val="00972FE5"/>
    <w:rsid w:val="009743A3"/>
    <w:rsid w:val="0098358A"/>
    <w:rsid w:val="009D2B9B"/>
    <w:rsid w:val="009D7430"/>
    <w:rsid w:val="009E0156"/>
    <w:rsid w:val="009F44EA"/>
    <w:rsid w:val="00A52D89"/>
    <w:rsid w:val="00A53D22"/>
    <w:rsid w:val="00AD357F"/>
    <w:rsid w:val="00AE3259"/>
    <w:rsid w:val="00AF5C90"/>
    <w:rsid w:val="00B2430D"/>
    <w:rsid w:val="00B264A2"/>
    <w:rsid w:val="00B865B7"/>
    <w:rsid w:val="00BA0842"/>
    <w:rsid w:val="00C56D01"/>
    <w:rsid w:val="00C72A1D"/>
    <w:rsid w:val="00C87F2B"/>
    <w:rsid w:val="00D17E6C"/>
    <w:rsid w:val="00D317E9"/>
    <w:rsid w:val="00D744AB"/>
    <w:rsid w:val="00D97A4A"/>
    <w:rsid w:val="00E03FBE"/>
    <w:rsid w:val="00E26B7B"/>
    <w:rsid w:val="00E341D0"/>
    <w:rsid w:val="00E50618"/>
    <w:rsid w:val="00E81AC7"/>
    <w:rsid w:val="00E86C0E"/>
    <w:rsid w:val="00ED50D9"/>
    <w:rsid w:val="00EE4E0C"/>
    <w:rsid w:val="00EF26D6"/>
    <w:rsid w:val="00F24104"/>
    <w:rsid w:val="00F47264"/>
    <w:rsid w:val="00F67D5E"/>
    <w:rsid w:val="00FB31DC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6754C15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97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B0AF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.pi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2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04977-1D1D-475D-A20F-F5486EAA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Roman Adler</cp:lastModifiedBy>
  <cp:revision>2</cp:revision>
  <cp:lastPrinted>2015-12-03T10:16:00Z</cp:lastPrinted>
  <dcterms:created xsi:type="dcterms:W3CDTF">2021-04-08T07:21:00Z</dcterms:created>
  <dcterms:modified xsi:type="dcterms:W3CDTF">2021-04-08T07:21:00Z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GIP-GPP.0301.10.2021.1</vt:lpwstr>
  </property>
  <property fmtid="{D5CDD505-2E9C-101B-9397-08002B2CF9AE}" pid="13" name="UNPPisma">
    <vt:lpwstr>GIP-21-19438</vt:lpwstr>
  </property>
  <property fmtid="{D5CDD505-2E9C-101B-9397-08002B2CF9AE}" pid="14" name="ZnakSprawy">
    <vt:lpwstr>GIP-GPP.0301.10.2021</vt:lpwstr>
  </property>
  <property fmtid="{D5CDD505-2E9C-101B-9397-08002B2CF9AE}" pid="15" name="ZnakSprawy2">
    <vt:lpwstr>Znak sprawy: GIP-GPP.0301.10.2021</vt:lpwstr>
  </property>
  <property fmtid="{D5CDD505-2E9C-101B-9397-08002B2CF9AE}" pid="16" name="AktualnaDataSlownie">
    <vt:lpwstr>6 kwietnia 2021</vt:lpwstr>
  </property>
  <property fmtid="{D5CDD505-2E9C-101B-9397-08002B2CF9AE}" pid="17" name="ZnakSprawyPrzedPrzeniesieniem">
    <vt:lpwstr/>
  </property>
  <property fmtid="{D5CDD505-2E9C-101B-9397-08002B2CF9AE}" pid="18" name="Autor">
    <vt:lpwstr>Tulwin Halina</vt:lpwstr>
  </property>
  <property fmtid="{D5CDD505-2E9C-101B-9397-08002B2CF9AE}" pid="19" name="AutorNumer">
    <vt:lpwstr>000152</vt:lpwstr>
  </property>
  <property fmtid="{D5CDD505-2E9C-101B-9397-08002B2CF9AE}" pid="20" name="AutorKomorkaNadrzedna">
    <vt:lpwstr>Zastępca Głównego Inspektora Pracy(GP)</vt:lpwstr>
  </property>
  <property fmtid="{D5CDD505-2E9C-101B-9397-08002B2CF9AE}" pid="21" name="AutorInicjaly">
    <vt:lpwstr>HT1</vt:lpwstr>
  </property>
  <property fmtid="{D5CDD505-2E9C-101B-9397-08002B2CF9AE}" pid="22" name="AutorNrTelefonu">
    <vt:lpwstr>-</vt:lpwstr>
  </property>
  <property fmtid="{D5CDD505-2E9C-101B-9397-08002B2CF9AE}" pid="23" name="Stanowisko">
    <vt:lpwstr>Główny specjalista</vt:lpwstr>
  </property>
  <property fmtid="{D5CDD505-2E9C-101B-9397-08002B2CF9AE}" pid="24" name="OpisPisma">
    <vt:lpwstr>Stanowisko w sprawie możliwości częściowego wypowiadania układów zbiorowych pracy</vt:lpwstr>
  </property>
  <property fmtid="{D5CDD505-2E9C-101B-9397-08002B2CF9AE}" pid="25" name="Komorka">
    <vt:lpwstr>Departament Prawny</vt:lpwstr>
  </property>
  <property fmtid="{D5CDD505-2E9C-101B-9397-08002B2CF9AE}" pid="26" name="KodKomorki">
    <vt:lpwstr>GPP</vt:lpwstr>
  </property>
  <property fmtid="{D5CDD505-2E9C-101B-9397-08002B2CF9AE}" pid="27" name="AktualnaData">
    <vt:lpwstr>2021-04-06</vt:lpwstr>
  </property>
  <property fmtid="{D5CDD505-2E9C-101B-9397-08002B2CF9AE}" pid="28" name="Wydzial">
    <vt:lpwstr>Departament Prawny</vt:lpwstr>
  </property>
  <property fmtid="{D5CDD505-2E9C-101B-9397-08002B2CF9AE}" pid="29" name="KodWydzialu">
    <vt:lpwstr>GPP</vt:lpwstr>
  </property>
  <property fmtid="{D5CDD505-2E9C-101B-9397-08002B2CF9AE}" pid="30" name="ZaakceptowanePrzez">
    <vt:lpwstr>n/d</vt:lpwstr>
  </property>
  <property fmtid="{D5CDD505-2E9C-101B-9397-08002B2CF9AE}" pid="31" name="PrzekazanieDo">
    <vt:lpwstr/>
  </property>
  <property fmtid="{D5CDD505-2E9C-101B-9397-08002B2CF9AE}" pid="32" name="PrzekazanieDoStanowisko">
    <vt:lpwstr/>
  </property>
  <property fmtid="{D5CDD505-2E9C-101B-9397-08002B2CF9AE}" pid="33" name="PrzekazanieDoKomorkaPracownika">
    <vt:lpwstr/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>PAŃSTWOWA INSPEKCJA PRACY OKRĘGOWY INSPEKTORAT PRACY W BIAŁYMSTOKU</vt:lpwstr>
  </property>
  <property fmtid="{D5CDD505-2E9C-101B-9397-08002B2CF9AE}" pid="38" name="adresOddzial">
    <vt:lpwstr/>
  </property>
  <property fmtid="{D5CDD505-2E9C-101B-9397-08002B2CF9AE}" pid="39" name="adresTypUlicy">
    <vt:lpwstr>ul.</vt:lpwstr>
  </property>
  <property fmtid="{D5CDD505-2E9C-101B-9397-08002B2CF9AE}" pid="40" name="adresUlica">
    <vt:lpwstr>FABRYCZNA</vt:lpwstr>
  </property>
  <property fmtid="{D5CDD505-2E9C-101B-9397-08002B2CF9AE}" pid="41" name="adresNrDomu">
    <vt:lpwstr>2</vt:lpwstr>
  </property>
  <property fmtid="{D5CDD505-2E9C-101B-9397-08002B2CF9AE}" pid="42" name="adresNrLokalu">
    <vt:lpwstr/>
  </property>
  <property fmtid="{D5CDD505-2E9C-101B-9397-08002B2CF9AE}" pid="43" name="adresKodPocztowy">
    <vt:lpwstr>14-483</vt:lpwstr>
  </property>
  <property fmtid="{D5CDD505-2E9C-101B-9397-08002B2CF9AE}" pid="44" name="adresMiejscowosc">
    <vt:lpwstr>BIAŁYSTOK</vt:lpwstr>
  </property>
  <property fmtid="{D5CDD505-2E9C-101B-9397-08002B2CF9AE}" pid="45" name="adresPoczta">
    <vt:lpwstr/>
  </property>
  <property fmtid="{D5CDD505-2E9C-101B-9397-08002B2CF9AE}" pid="46" name="adresEMail">
    <vt:lpwstr>kancelaria@bialystok.pip.gov.pl</vt:lpwstr>
  </property>
  <property fmtid="{D5CDD505-2E9C-101B-9397-08002B2CF9AE}" pid="47" name="DataNaPismie">
    <vt:lpwstr>2021-04-02</vt:lpwstr>
  </property>
  <property fmtid="{D5CDD505-2E9C-101B-9397-08002B2CF9AE}" pid="48" name="adresaciDW">
    <vt:lpwstr>PAŃSTWOWA INSPEKCJA PRACY OKRĘGOWY INSPEKTORAT PRACY W BYDGOSZCZY;PAŃSTWOWA INSPEKCJA PRACY OKRĘGOWY INSPEKTORAT PRACY W GDAŃSKU;PAŃSTWOWA INSPEKCJA PRACY OKRĘGOWY INSPEKTORAT PRACY W KATOWICACH;PAŃSTWOWA INSPEKCJA PRACY OKRĘGOWY INSPEKTORAT PRACY W KIELCACH;PAŃSTWOWA INSPEKCJA PRACY OKRĘGOWY INSPEKTORAT PRACY W KRAKOWIE;PAŃSTWOWA INSPEKCJA PRACY OKRĘGOWY INSPEKTORAT PRACY W LUBLINIE;PAŃSTWOWA INSPEKCJA PRACY OKRĘGOWY INSPEKTORAT PRACY W ŁODZI;PAŃSTWOWA INSPEKCJA PRACY OKRĘGOWY INSPEKTORAT PRACY W OLSZTYNIE;PAŃSTWOWA INSPEKCJA PRACY OKRĘGOWY INSPEKTORAT PRACY W OPOLU;PAŃSTWOWA INSPEKCJA PRACY OKRĘGOWY INSPEKTORAT PRACY W POZNANIU;PAŃSTWOWA INSPEKCJA PRACY OKRĘGOWY INSPEKTORAT PRACY W RZESZOWIE;PAŃSTWOWA INSPEKCJA PRACY OKRĘGOWY INSPEKTORAT PRACY W SZCZECINIE;PAŃSTWOWA INSPEKCJA PRACY OKRĘGOWY INSPEKTORAT PRACY W WARSZAWIE;PAŃSTWOWA INSPEKCJA PRACY OKRĘGOWY INSPEKTORAT PRACY WE WROCŁAWIU;PAŃSTWOWA INSPEKCJA PRACY OKRĘGOWY INSPEKTORAT PRACY W ZIELONEJ GÓRZE</vt:lpwstr>
  </property>
  <property fmtid="{D5CDD505-2E9C-101B-9397-08002B2CF9AE}" pid="49" name="adresaciDW2">
    <vt:lpwstr>PAŃSTWOWA INSPEKCJA PRACY OKRĘGOWY INSPEKTORAT PRACY W BYDGOSZCZY, ul. PLAC PIASTOWSKI 4a, 85-012 BYDGOSZCZ;  PAŃSTWOWA INSPEKCJA PRACY OKRĘGOWY INSPEKTORAT PRACY W GDAŃSKU, ul. OKOPOWA 7, 80-819 GDAŃSK;  PAŃSTWOWA INSPEKCJA PRACY OKRĘGOWY INSPEKTORAT PRACY W KATOWICACH, ul. OWOCOWA 6-6a, 40-158 KATOWICE;  PAŃSTWOWA INSPEKCJA PRACY OKRĘGOWY INSPEKTORAT PRACY W KIELCACH, ul. AL. TYSIĄCLECIA PAŃSTWA POLSKIEGO 4, 25-314 KIELCE;  PAŃSTWOWA INSPEKCJA PRACY OKRĘGOWY INSPEKTORAT PRACY W KRAKOWIE, ul. PLAC SZCZEPAŃSKI 5, 31-011 KRAKÓW;  PAŃSTWOWA INSPEKCJA PRACY OKRĘGOWY INSPEKTORAT PRACY W LUBLINIE, ul. PIŁSUDSKIEGO 13, 20-011 LUBLIN;  PAŃSTWOWA INSPEKCJA PRACY OKRĘGOWY INSPEKTORAT PRACY W ŁODZI, ul. KOŚCIUSZKI 123, 91-441 ŁÓDŹ;  PAŃSTWOWA INSPEKCJA PRACY OKRĘGOWY INSPEKTORAT PRACY W OLSZTYNIE, ul. MIKOŁAJA KOPERNIKA 29, 10-512 OLSZTYN;  PAŃSTWOWA INSPEKCJA PRACY OKRĘGOWY INSPEKTORAT PRACY W OPOLU, ul. OLESKA 121 C, 45-231 OPOLE;  PAŃSTWOWA INSPEKCJA PRACY OKRĘGOWY INSPEKTORAT PRACY W POZNANIU, ul. MARCELIŃSKA 90, 60-324 POZNAŃ;  PAŃSTWOWA INSPEKCJA PRACY OKRĘGOWY INSPEKTORAT PRACY W RZESZOWIE, ul. GEN. STANISŁAWA MACZKA 4, 35-234 RZESZÓW;  PAŃSTWOWA INSPEKCJA PRACY OKRĘGOWY INSPEKTORAT PRACY W SZCZECINIE, ul. PSZCZELNA 7, 71-663 SZCZECIN;  PAŃSTWOWA INSPEKCJA PRACY OKRĘGOWY INSPEKTORAT PRACY W WARSZAWIE, ul. PŁOCKA 11 \ 13, 01-231 WARSZAWA;  PAŃSTWOWA INSPEKCJA PRACY OKRĘGOWY INSPEKTORAT PRACY WE WROCŁAWIU, ul. ZIELONEGO DĘBU 22, 51-621 WROCŁAW;  PAŃSTWOWA INSPEKCJA PRACY OKRĘGOWY INSPEKTORAT PRACY W ZIELONEJ GÓRZE, ul. DEKORACYJNA 8, 65-155 ZIELONA GÓRA;  </vt:lpwstr>
  </property>
  <property fmtid="{D5CDD505-2E9C-101B-9397-08002B2CF9AE}" pid="50" name="DataCzasWprowadzenia">
    <vt:lpwstr>2021-04-02 14:36:12</vt:lpwstr>
  </property>
  <property fmtid="{D5CDD505-2E9C-101B-9397-08002B2CF9AE}" pid="51" name="TematSprawy">
    <vt:lpwstr>Stanowisko w sprawie możliwości częściowego wypowiadania układów zbiorowych pracy</vt:lpwstr>
  </property>
  <property fmtid="{D5CDD505-2E9C-101B-9397-08002B2CF9AE}" pid="52" name="ProwadzacySprawe">
    <vt:lpwstr>Tulwin Halina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